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0" w:lineRule="exact"/>
        <w:rPr>
          <w:rFonts w:hint="eastAsia" w:ascii="方正黑体_GBK" w:hAnsi="方正仿宋_GBK" w:eastAsia="方正黑体_GBK" w:cs="Times New Roman"/>
          <w:color w:val="000000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黑体_GBK" w:hAnsi="方正仿宋_GBK" w:eastAsia="方正黑体_GBK" w:cs="方正黑体_GBK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方正黑体_GBK" w:hAnsi="方正仿宋_GBK" w:eastAsia="方正黑体_GBK" w:cs="方正黑体_GBK"/>
          <w:color w:val="000000"/>
          <w:kern w:val="0"/>
          <w:sz w:val="32"/>
          <w:szCs w:val="32"/>
          <w:shd w:val="clear" w:color="auto" w:fill="FFFFFF"/>
          <w:lang w:val="en-US" w:eastAsia="zh-CN"/>
        </w:rPr>
        <w:t>2</w:t>
      </w:r>
    </w:p>
    <w:p>
      <w:pPr>
        <w:widowControl/>
        <w:snapToGrid w:val="0"/>
        <w:spacing w:line="560" w:lineRule="exact"/>
        <w:jc w:val="center"/>
        <w:rPr>
          <w:rFonts w:ascii="方正小标宋简体" w:hAnsi="黑体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方正小标宋简体"/>
          <w:color w:val="000000"/>
          <w:kern w:val="0"/>
          <w:sz w:val="36"/>
          <w:szCs w:val="36"/>
        </w:rPr>
        <w:t>安徽省大学生学科和技能竞赛</w:t>
      </w:r>
    </w:p>
    <w:p>
      <w:pPr>
        <w:widowControl/>
        <w:snapToGrid w:val="0"/>
        <w:spacing w:line="560" w:lineRule="exact"/>
        <w:jc w:val="center"/>
        <w:rPr>
          <w:rFonts w:ascii="方正小标宋简体" w:hAnsi="黑体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方正小标宋简体"/>
          <w:color w:val="000000"/>
          <w:kern w:val="0"/>
          <w:sz w:val="36"/>
          <w:szCs w:val="36"/>
        </w:rPr>
        <w:t>工作总结报告内容提纲</w:t>
      </w:r>
    </w:p>
    <w:p>
      <w:pPr>
        <w:widowControl/>
        <w:shd w:val="clear" w:color="auto" w:fill="FFFFFF"/>
        <w:spacing w:line="500" w:lineRule="exact"/>
        <w:rPr>
          <w:rFonts w:ascii="方正仿宋_GBK" w:hAnsi="方正仿宋_GBK" w:eastAsia="方正仿宋_GBK" w:cs="Times New Roman"/>
          <w:b/>
          <w:bCs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方正仿宋_GBK" w:hAnsi="方正仿宋_GBK" w:eastAsia="方正仿宋_GBK" w:cs="Times New Roman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shd w:val="clear" w:color="auto" w:fill="FFFFFF"/>
        </w:rPr>
        <w:t xml:space="preserve">   一、竞赛基本情况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、竞赛规模及参与情况（参与高校数、学生数、团队数、指导教师数、专业覆盖情况等）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、竞赛获奖情况（奖项设置情况，获奖覆盖学校情况，与往年</w:t>
      </w: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/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届竞赛的纵向比较情况等）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、其他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方正仿宋_GBK" w:hAnsi="方正仿宋_GBK" w:eastAsia="方正仿宋_GBK" w:cs="Times New Roman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shd w:val="clear" w:color="auto" w:fill="FFFFFF"/>
        </w:rPr>
        <w:t xml:space="preserve">    二、竞赛组织实施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、竞赛组织安排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、评审专家安排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、比赛秩序、竞赛纪律与公平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、竞赛宣传推广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、其他（包括财经纪律情况）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方正仿宋_GBK" w:hAnsi="方正仿宋_GBK" w:eastAsia="方正仿宋_GBK" w:cs="Times New Roman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shd w:val="clear" w:color="auto" w:fill="FFFFFF"/>
        </w:rPr>
        <w:t xml:space="preserve">    三、成果及特色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、安徽省参加国赛的参与情况及获奖情况（与其他省份的横向比较、与往年竞赛的纵向变化情况）及竞赛的影响力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、在创新创业教育及人次培养方面的成效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、对以赛促教、以赛促学、以赛促改及以赛促建的意义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、竞赛优秀典型案例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、竞赛特色总结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6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、其他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方正仿宋_GBK" w:hAnsi="方正仿宋_GBK" w:eastAsia="方正仿宋_GBK" w:cs="Times New Roman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shd w:val="clear" w:color="auto" w:fill="FFFFFF"/>
        </w:rPr>
        <w:t>四、存在的问题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shd w:val="clear" w:color="auto" w:fill="FFFFFF"/>
        </w:rPr>
        <w:t>五、改进措施及未来工作计划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B27A5"/>
    <w:rsid w:val="00A22194"/>
    <w:rsid w:val="00FB466E"/>
    <w:rsid w:val="21CE4133"/>
    <w:rsid w:val="55BB27A5"/>
    <w:rsid w:val="644B2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