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40" w:lineRule="exact"/>
        <w:jc w:val="left"/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附件4：</w:t>
      </w:r>
    </w:p>
    <w:bookmarkEnd w:id="0"/>
    <w:p>
      <w:pPr>
        <w:spacing w:before="156" w:beforeLines="50" w:after="156" w:afterLines="50" w:line="440" w:lineRule="exact"/>
        <w:jc w:val="center"/>
        <w:rPr>
          <w:rFonts w:hint="eastAsia" w:ascii="黑体" w:hAnsi="黑体" w:eastAsia="黑体"/>
          <w:b/>
          <w:sz w:val="36"/>
          <w:szCs w:val="36"/>
          <w:lang w:eastAsia="zh-CN"/>
        </w:rPr>
      </w:pP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采购</w:t>
      </w:r>
      <w:r>
        <w:rPr>
          <w:rFonts w:hint="eastAsia" w:ascii="黑体" w:hAnsi="黑体" w:eastAsia="黑体"/>
          <w:b/>
          <w:sz w:val="36"/>
          <w:szCs w:val="36"/>
        </w:rPr>
        <w:t>需求调查记录表</w:t>
      </w:r>
    </w:p>
    <w:tbl>
      <w:tblPr>
        <w:tblStyle w:val="7"/>
        <w:tblW w:w="82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7"/>
        <w:gridCol w:w="630"/>
        <w:gridCol w:w="1009"/>
        <w:gridCol w:w="3777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采购单位</w:t>
            </w:r>
          </w:p>
        </w:tc>
        <w:tc>
          <w:tcPr>
            <w:tcW w:w="6896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</w:rPr>
              <w:t>项目</w:t>
            </w: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名称</w:t>
            </w:r>
          </w:p>
        </w:tc>
        <w:tc>
          <w:tcPr>
            <w:tcW w:w="68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编制单位</w:t>
            </w:r>
          </w:p>
        </w:tc>
        <w:tc>
          <w:tcPr>
            <w:tcW w:w="68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编制时间</w:t>
            </w:r>
          </w:p>
        </w:tc>
        <w:tc>
          <w:tcPr>
            <w:tcW w:w="68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33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需求调查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方式</w:t>
            </w:r>
          </w:p>
        </w:tc>
        <w:tc>
          <w:tcPr>
            <w:tcW w:w="68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ind w:firstLine="240" w:firstLineChars="100"/>
              <w:jc w:val="both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咨询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论证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 xml:space="preserve">问卷调查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</w:rPr>
              <w:t>其它方式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1" w:hRule="atLeast"/>
          <w:jc w:val="center"/>
        </w:trPr>
        <w:tc>
          <w:tcPr>
            <w:tcW w:w="82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一、标的相关产业发展情况：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二、市场供给情况：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三、同类采购项目历史成交信息：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四、可能涉及的运行维护、升级更新、备品备件、耗材等后续采购情况：</w:t>
            </w: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五、其他相关情况：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FFFFFF" w:themeColor="background1"/>
                <w:sz w:val="28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FFFFFF" w:themeColor="background1"/>
                <w:sz w:val="28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spacing w:line="500" w:lineRule="exact"/>
              <w:rPr>
                <w:rFonts w:hint="eastAsia" w:ascii="仿宋" w:hAnsi="仿宋" w:eastAsia="仿宋" w:cs="仿宋"/>
                <w:b w:val="0"/>
                <w:color w:val="000000"/>
                <w:kern w:val="0"/>
                <w:sz w:val="31"/>
                <w:szCs w:val="31"/>
                <w:u w:val="no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1"/>
                <w:szCs w:val="31"/>
                <w:u w:val="none"/>
                <w:lang w:bidi="ar"/>
              </w:rPr>
              <w:t>六、</w:t>
            </w:r>
            <w:r>
              <w:rPr>
                <w:rFonts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项目执行标准及依据：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FFFFFF" w:themeColor="background1"/>
                <w:sz w:val="28"/>
                <w14:textFill>
                  <w14:solidFill>
                    <w14:schemeClr w14:val="bg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500" w:lineRule="exact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1"/>
                <w:szCs w:val="31"/>
                <w:u w:val="none"/>
                <w:lang w:bidi="ar"/>
              </w:rPr>
              <w:t>七、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技术要求：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八、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1"/>
                <w:szCs w:val="31"/>
                <w:u w:val="none"/>
                <w:lang w:val="en-US" w:eastAsia="zh-CN" w:bidi="ar"/>
              </w:rPr>
              <w:t>商务要求：</w:t>
            </w: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FF0000"/>
                <w:sz w:val="28"/>
              </w:rPr>
            </w:pPr>
          </w:p>
          <w:p>
            <w:pPr>
              <w:spacing w:line="500" w:lineRule="exact"/>
              <w:rPr>
                <w:rFonts w:hint="eastAsia" w:ascii="仿宋_GB2312" w:hAnsi="仿宋_GB2312" w:eastAsia="仿宋_GB2312" w:cs="仿宋_GB2312"/>
                <w:b/>
                <w:color w:val="FF0000"/>
                <w:sz w:val="28"/>
              </w:rPr>
            </w:pPr>
          </w:p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8233" w:type="dxa"/>
            <w:gridSpan w:val="5"/>
            <w:tcBorders>
              <w:top w:val="single" w:color="auto" w:sz="4" w:space="0"/>
            </w:tcBorders>
            <w:shd w:val="clear" w:color="auto" w:fill="F2F2F2"/>
            <w:vAlign w:val="center"/>
          </w:tcPr>
          <w:p>
            <w:pPr>
              <w:spacing w:before="156" w:beforeLines="50"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供应商情况</w:t>
            </w:r>
          </w:p>
          <w:p>
            <w:pPr>
              <w:spacing w:line="360" w:lineRule="exact"/>
              <w:ind w:firstLine="240" w:firstLineChars="100"/>
              <w:rPr>
                <w:rFonts w:hint="eastAsia" w:ascii="仿宋_GB2312" w:hAnsi="仿宋_GB2312" w:eastAsia="仿宋_GB2312" w:cs="仿宋_GB2312"/>
                <w:b/>
                <w:sz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说明：面向市场主体开展需求调查时，选择的调查对象一般不少于3个，并应当具有代表性。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0"/>
              </w:rPr>
              <w:t>序号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调研品牌名称</w:t>
            </w:r>
          </w:p>
        </w:tc>
        <w:tc>
          <w:tcPr>
            <w:tcW w:w="5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调研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生产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商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代理商名称及联系方式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87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6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88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233" w:type="dxa"/>
            <w:gridSpan w:val="5"/>
            <w:shd w:val="clear" w:color="auto" w:fill="F2F2F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</w:rPr>
              <w:t>调查小组成员名单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lang w:val="en-US" w:eastAsia="zh-CN"/>
              </w:rPr>
              <w:t>2人及以上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>序号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37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职务/职称</w:t>
            </w:r>
          </w:p>
        </w:tc>
        <w:tc>
          <w:tcPr>
            <w:tcW w:w="21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4</w:t>
            </w:r>
          </w:p>
        </w:tc>
        <w:tc>
          <w:tcPr>
            <w:tcW w:w="16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7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70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5</w:t>
            </w:r>
          </w:p>
        </w:tc>
        <w:tc>
          <w:tcPr>
            <w:tcW w:w="16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77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1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spacing w:line="20" w:lineRule="exact"/>
        <w:rPr>
          <w:rFonts w:cs="Times New Roman" w:asciiTheme="minorEastAsia" w:hAnsiTheme="minorEastAsia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一、符合下列条件之一的政府采购项目应当开展需求调查：</w:t>
      </w:r>
    </w:p>
    <w:p>
      <w:pPr>
        <w:ind w:firstLine="42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1000万元以上的货物、服务采购项目，3000万元以上的工程采购项目；</w:t>
      </w:r>
    </w:p>
    <w:p>
      <w:pPr>
        <w:ind w:firstLine="42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涉及公共利益、社会关注度较高的采购项目，包括政府向社会公众提供的公共服务项目等； </w:t>
      </w:r>
    </w:p>
    <w:p>
      <w:pPr>
        <w:ind w:firstLine="42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技术复杂、专业性较强的项目，包括采购预算金额达到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400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万元及以上（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采购预算达到政府采购公开招标限额的采购项目，根据上级文件同步调整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）的需定制开发的信息化建设项目和进口产品的采购项目等；</w:t>
      </w:r>
    </w:p>
    <w:p>
      <w:pPr>
        <w:ind w:firstLine="42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主管预算单位或者采购人认为需要开展需求调查的其他采购项目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42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二、编制采购需求前一年内，采购人已就相关采购标的开展过需求调查的可以不再重复开展。按照法律法规的规定，对采购项目开展可行性研究等前期工作，已包含《政府采购需求管理办法》（财库〔2021〕22号）规定的需求调查内容的，可以不再重复调查；对在可行性研究等前期工作中未涉及的部分，应当按照本办法的规定开展需求调查。</w:t>
      </w:r>
    </w:p>
    <w:p>
      <w:pPr>
        <w:ind w:firstLine="420" w:firstLineChars="200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后附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需求调查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过程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相关材料。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对于审查不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通过的采购项目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，须补充提供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相应的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支撑材料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需求调查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过程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相关材料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形式不受限制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如产品说明书或产品彩页、供应商官网截图、电子邮件等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，能证明进行了认真的市场调研、需求调查即可。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69989259"/>
      <w:docPartObj>
        <w:docPartGallery w:val="autotext"/>
      </w:docPartObj>
    </w:sdtPr>
    <w:sdtContent>
      <w:p>
        <w:pPr>
          <w:pStyle w:val="4"/>
          <w:jc w:val="center"/>
        </w:pPr>
        <w:r>
          <w:t>第</w:t>
        </w: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  <w:r>
          <w:t>页</w:t>
        </w:r>
      </w:p>
    </w:sdtContent>
  </w:sdt>
  <w:p>
    <w:pPr>
      <w:pStyle w:val="4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